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E857" w14:textId="3E8CF5C4" w:rsidR="007F0E4B" w:rsidRPr="00377B41" w:rsidRDefault="0064705E" w:rsidP="00377B41">
      <w:pPr>
        <w:pStyle w:val="Titre"/>
        <w:jc w:val="center"/>
        <w:rPr>
          <w:sz w:val="48"/>
          <w:szCs w:val="18"/>
          <w:lang w:val="fr-FR"/>
        </w:rPr>
      </w:pPr>
      <w:r w:rsidRPr="00377B41">
        <w:rPr>
          <w:sz w:val="48"/>
          <w:szCs w:val="18"/>
          <w:lang w:val="fr-FR"/>
        </w:rPr>
        <w:t>TERMES DE RÉFÉRENCE</w:t>
      </w:r>
      <w:r w:rsidR="00EF4FE2" w:rsidRPr="00377B41">
        <w:rPr>
          <w:sz w:val="48"/>
          <w:szCs w:val="18"/>
          <w:lang w:val="fr-FR"/>
        </w:rPr>
        <w:t xml:space="preserve"> : </w:t>
      </w:r>
      <w:r w:rsidRPr="00377B41">
        <w:rPr>
          <w:sz w:val="48"/>
          <w:szCs w:val="18"/>
          <w:lang w:val="fr-FR"/>
        </w:rPr>
        <w:t xml:space="preserve"> Étude « Redevabilité, contrôle et audit de la gouvernance environnementale en Tunisie »</w:t>
      </w:r>
    </w:p>
    <w:p w14:paraId="7A290DC9" w14:textId="77777777" w:rsidR="007F0E4B" w:rsidRPr="00C859D3" w:rsidRDefault="0064705E" w:rsidP="00EF4FE2">
      <w:pPr>
        <w:pStyle w:val="Titre1"/>
        <w:rPr>
          <w:lang w:val="fr-FR"/>
        </w:rPr>
      </w:pPr>
      <w:r w:rsidRPr="00C859D3">
        <w:rPr>
          <w:lang w:val="fr-FR"/>
        </w:rPr>
        <w:t>1. Contexte</w:t>
      </w:r>
    </w:p>
    <w:p w14:paraId="1402D707" w14:textId="77777777" w:rsidR="007F0E4B" w:rsidRPr="00EF4FE2" w:rsidRDefault="0064705E" w:rsidP="00EF4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À l'occasion de la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Pr="00EF4FE2">
        <w:rPr>
          <w:rFonts w:ascii="Times New Roman" w:hAnsi="Times New Roman" w:cs="Times New Roman"/>
          <w:b/>
          <w:sz w:val="24"/>
          <w:szCs w:val="24"/>
        </w:rPr>
        <w:t>ᵉ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édition du Forum de la Gouvernance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, organisée par le Centre Tunisien de Gouvernance des Entreprises (CTGE) relevant de l'Institut Arabe des Chefs d'Entreprises (IACE) le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27 octobre 2026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, le CTGE souhaite réaliser une étude consacrée à la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redevabilité, au contrôle et à l'audit dans la gouvernance environnementale en Tunisie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BFFD686" w14:textId="77777777" w:rsidR="007F0E4B" w:rsidRPr="00EF4FE2" w:rsidRDefault="0064705E" w:rsidP="00EF4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Le Forum aborde la gouvernance environnementale comme une chaîne institutionnelle :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savoir, répondre, vérifier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. La présente étude porte sur les deux derniers maillons :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répondre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 xml:space="preserve">, c'est-à-dire identifier les responsabilités et permettre aux parties prenantes de demander des comptes ; </w:t>
      </w:r>
      <w:r w:rsidRPr="00EF4FE2">
        <w:rPr>
          <w:rFonts w:ascii="Times New Roman" w:hAnsi="Times New Roman" w:cs="Times New Roman"/>
          <w:b/>
          <w:sz w:val="24"/>
          <w:szCs w:val="24"/>
          <w:lang w:val="fr-FR"/>
        </w:rPr>
        <w:t>vérifier</w:t>
      </w:r>
      <w:r w:rsidRPr="00EF4FE2">
        <w:rPr>
          <w:rFonts w:ascii="Times New Roman" w:hAnsi="Times New Roman" w:cs="Times New Roman"/>
          <w:sz w:val="24"/>
          <w:szCs w:val="24"/>
          <w:lang w:val="fr-FR"/>
        </w:rPr>
        <w:t>, c'est-à-dire confronter les engagements et les informations aux résultats observés, et corriger les écarts.</w:t>
      </w:r>
    </w:p>
    <w:p w14:paraId="30D5A840" w14:textId="77777777" w:rsidR="007F0E4B" w:rsidRPr="00EF4FE2" w:rsidRDefault="0064705E" w:rsidP="00EF4F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F4FE2">
        <w:rPr>
          <w:rFonts w:ascii="Times New Roman" w:hAnsi="Times New Roman" w:cs="Times New Roman"/>
          <w:sz w:val="24"/>
          <w:szCs w:val="24"/>
          <w:lang w:val="fr-FR"/>
        </w:rPr>
        <w:t>Lorsque l'un de ces maillons fait défaut, la gouvernance perd en crédibilité : une responsabilité sans contrôle reste déclarative ; un contrôle sans capacité de correction demeure sans effet.</w:t>
      </w:r>
    </w:p>
    <w:p w14:paraId="0FA4635D" w14:textId="77777777" w:rsidR="007F0E4B" w:rsidRPr="00C859D3" w:rsidRDefault="0064705E" w:rsidP="00EF4FE2">
      <w:pPr>
        <w:spacing w:line="360" w:lineRule="auto"/>
        <w:jc w:val="both"/>
        <w:rPr>
          <w:lang w:val="fr-FR"/>
        </w:rPr>
      </w:pPr>
      <w:r w:rsidRPr="00EF4FE2">
        <w:rPr>
          <w:rFonts w:ascii="Times New Roman" w:hAnsi="Times New Roman" w:cs="Times New Roman"/>
          <w:sz w:val="24"/>
          <w:szCs w:val="24"/>
          <w:lang w:val="fr-FR"/>
        </w:rPr>
        <w:t>Cette étude constitue le second volet d'un dispositif en deux études. Le premier volet porte sur l'état des lieux de l'information et de la transparence environnementales.</w:t>
      </w:r>
    </w:p>
    <w:p w14:paraId="30849E88" w14:textId="77777777" w:rsidR="007F0E4B" w:rsidRPr="00C859D3" w:rsidRDefault="0064705E" w:rsidP="00A504E1">
      <w:pPr>
        <w:pStyle w:val="Titre1"/>
        <w:rPr>
          <w:lang w:val="fr-FR"/>
        </w:rPr>
      </w:pPr>
      <w:r w:rsidRPr="00C859D3">
        <w:rPr>
          <w:lang w:val="fr-FR"/>
        </w:rPr>
        <w:t>2. Objectifs de l'étude</w:t>
      </w:r>
    </w:p>
    <w:p w14:paraId="6AC2A6A3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L'objectif général est d'analyser dans quelle mesure les mécanismes existants permettent d'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attribuer la responsabilité environnementale, de la vérifier et de corriger les écarts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>, principalement au sein de la sphère publique, et d'identifier les ruptures de cette chaîne.</w:t>
      </w:r>
    </w:p>
    <w:p w14:paraId="487FB63F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Les objectifs spécifiques sont les suivants :</w:t>
      </w:r>
    </w:p>
    <w:p w14:paraId="667F7277" w14:textId="77777777" w:rsidR="007F0E4B" w:rsidRPr="00A504E1" w:rsidRDefault="0064705E" w:rsidP="00A504E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Identifier qui porte la responsabilité environnementale, au sein de l'administration comme au sein des entreprises.</w:t>
      </w:r>
    </w:p>
    <w:p w14:paraId="4257286E" w14:textId="77777777" w:rsidR="007F0E4B" w:rsidRPr="00A504E1" w:rsidRDefault="0064705E" w:rsidP="00A504E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lastRenderedPageBreak/>
        <w:t>Analyser les mécanismes par lesquels les parties prenantes peuvent demander des comptes, et ce que leur participation change réellement dans la décision.</w:t>
      </w:r>
    </w:p>
    <w:p w14:paraId="24B6DEB3" w14:textId="77777777" w:rsidR="007F0E4B" w:rsidRPr="00A504E1" w:rsidRDefault="0064705E" w:rsidP="00A504E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Évaluer les dispositifs de contrôle interne, de vérification indépendante et de contrôle externe de l'information et des engagements environnementaux.</w:t>
      </w:r>
    </w:p>
    <w:p w14:paraId="168A5198" w14:textId="77777777" w:rsidR="007F0E4B" w:rsidRPr="00A504E1" w:rsidRDefault="0064705E" w:rsidP="00A504E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Examiner la capacité des institutions à transformer un constat de contrôle en correction effective.</w:t>
      </w:r>
    </w:p>
    <w:p w14:paraId="53690285" w14:textId="77777777" w:rsidR="007F0E4B" w:rsidRPr="00A504E1" w:rsidRDefault="0064705E" w:rsidP="00A504E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Formuler des recommandations centrées sur les mécanismes de redevabilité et de vérification.</w:t>
      </w:r>
    </w:p>
    <w:p w14:paraId="7E927B09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L'étude devra répondre notamment aux questions suivantes :</w:t>
      </w:r>
    </w:p>
    <w:p w14:paraId="5486F67D" w14:textId="77777777" w:rsidR="007F0E4B" w:rsidRPr="00A504E1" w:rsidRDefault="0064705E" w:rsidP="00A504E1">
      <w:pPr>
        <w:pStyle w:val="Citation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Qui doit rendre des comptes, devant qui et avec quelles conséquences ? Qui vérifie, et comment passer d'une culture de la déclaration à une culture de la preuve, de la vérification et de la correction ?</w:t>
      </w:r>
    </w:p>
    <w:p w14:paraId="58AAFABE" w14:textId="77777777" w:rsidR="007F0E4B" w:rsidRPr="00A504E1" w:rsidRDefault="0064705E" w:rsidP="00A504E1">
      <w:pPr>
        <w:pStyle w:val="Titre1"/>
        <w:spacing w:line="360" w:lineRule="auto"/>
        <w:jc w:val="both"/>
        <w:rPr>
          <w:rFonts w:ascii="Times New Roman" w:hAnsi="Times New Roman" w:cs="Times New Roman"/>
          <w:sz w:val="36"/>
          <w:szCs w:val="24"/>
          <w:lang w:val="fr-FR"/>
        </w:rPr>
      </w:pPr>
      <w:r w:rsidRPr="00A504E1">
        <w:rPr>
          <w:rFonts w:ascii="Times New Roman" w:hAnsi="Times New Roman" w:cs="Times New Roman"/>
          <w:sz w:val="36"/>
          <w:szCs w:val="24"/>
          <w:lang w:val="fr-FR"/>
        </w:rPr>
        <w:t>3. Périmètre et axes d'analyse</w:t>
      </w:r>
    </w:p>
    <w:p w14:paraId="326222FE" w14:textId="5B89B004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L'étude couvre les mécanismes de redevabilité et de vérification applicables aux acteurs publics et aux entreprises. Les secteurs ou cas illustratifs retenus seront précisés dans la note méthodologique</w:t>
      </w:r>
      <w:r w:rsidR="00A504E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9E52730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Axe 1 — Imputabilité de la responsabilité.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Répartition des mandats et des responsabilités environnementales entre institutions ; chevauchements et zones sans responsable identifié. Dans l'entreprise : place de la responsabilité environnementale au niveau du conseil d'administration et de la direction générale (objectifs, informations remontantes, évaluation des résultats), ou maintien au seul niveau opérationnel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(volet optionnel)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71D5020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Axe 2 — Redevabilité envers les parties prenantes.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Enquêtes publiques, études d'impact, commissions consultatives et mécanismes de concertation : manière dont les avis sont intégrés dans la décision, documentés et suivis d'une réponse. Existence d'un acteur capable de demander des comptes et de conséquences en cas de non-respect des engagements.</w:t>
      </w:r>
    </w:p>
    <w:p w14:paraId="6A97C6D8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Axe 3 — Contrôle interne.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Traçabilité des données, procédures de validation, séparation entre production et vérification de l'information, systèmes de management environnemental et audit interne. Comparaison avec le degré de contrôle appliqué à l'information financière.</w:t>
      </w:r>
    </w:p>
    <w:p w14:paraId="5BB449E6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Axe 4 — Vérification indépendante.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Pratiques d'assurance externe de l'information environnementale et de durabilité. Enjeux posés par la norme internationale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ISSA 5000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de l'IAASB : niveau d'assurance, compétences requises, responsabilité des professionnels chargés de la vérification. État de préparation de la profession en Tunisie.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(Volet optionnel)</w:t>
      </w:r>
    </w:p>
    <w:p w14:paraId="2E83D8F1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Axe 5 — Contrôle externe et régulation.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Audit public, audit de performance, inspection et supervision sectorielle, contrôle des risques environnementaux et climatiques. Adéquation entre le mandat de contrôle et les moyens, compétences et outils disponibles.</w:t>
      </w:r>
    </w:p>
    <w:p w14:paraId="13266DF8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Axe 6 — De la vérification à la correction.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Suites données aux constats de contrôle : sanctions, mises en conformité, réparation, suivi des recommandations. Facteurs institutionnels expliquant qu'un contrôle ne produise pas nécessairement une correction, y compris dans les situations de type « zones de sacrifice ».</w:t>
      </w:r>
    </w:p>
    <w:p w14:paraId="44558375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L'étude ne porte pas sur l'évaluation de politiques publiques sectorielles. Elle analyse les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mécanismes de redevabilité et de vérification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>, leurs interactions et leurs limites.</w:t>
      </w:r>
    </w:p>
    <w:p w14:paraId="1FA0FA78" w14:textId="77777777" w:rsidR="007F0E4B" w:rsidRPr="00C859D3" w:rsidRDefault="0064705E" w:rsidP="00A504E1">
      <w:pPr>
        <w:pStyle w:val="Titre1"/>
        <w:rPr>
          <w:lang w:val="fr-FR"/>
        </w:rPr>
      </w:pPr>
      <w:r w:rsidRPr="00C859D3">
        <w:rPr>
          <w:lang w:val="fr-FR"/>
        </w:rPr>
        <w:t>4. Méthodologie</w:t>
      </w:r>
    </w:p>
    <w:p w14:paraId="7DB594B2" w14:textId="30155EDD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L'expert proposera une méthodologie détaillée dans sa note méthodologique. </w:t>
      </w:r>
      <w:r w:rsidRPr="00A504E1">
        <w:rPr>
          <w:rFonts w:ascii="Times New Roman" w:hAnsi="Times New Roman" w:cs="Times New Roman"/>
          <w:sz w:val="24"/>
          <w:szCs w:val="24"/>
        </w:rPr>
        <w:t xml:space="preserve">Celle-ci </w:t>
      </w:r>
      <w:proofErr w:type="spellStart"/>
      <w:r w:rsidRPr="00A504E1">
        <w:rPr>
          <w:rFonts w:ascii="Times New Roman" w:hAnsi="Times New Roman" w:cs="Times New Roman"/>
          <w:sz w:val="24"/>
          <w:szCs w:val="24"/>
        </w:rPr>
        <w:t>devra</w:t>
      </w:r>
      <w:proofErr w:type="spellEnd"/>
      <w:r w:rsidRPr="00A504E1">
        <w:rPr>
          <w:rFonts w:ascii="Times New Roman" w:hAnsi="Times New Roman" w:cs="Times New Roman"/>
          <w:sz w:val="24"/>
          <w:szCs w:val="24"/>
        </w:rPr>
        <w:t xml:space="preserve"> combiner au </w:t>
      </w:r>
      <w:r w:rsidR="007A1629" w:rsidRPr="00A504E1">
        <w:rPr>
          <w:rFonts w:ascii="Times New Roman" w:hAnsi="Times New Roman" w:cs="Times New Roman"/>
          <w:sz w:val="24"/>
          <w:szCs w:val="24"/>
        </w:rPr>
        <w:t>minimum:</w:t>
      </w:r>
    </w:p>
    <w:p w14:paraId="3A167F54" w14:textId="77777777" w:rsidR="007F0E4B" w:rsidRPr="00A504E1" w:rsidRDefault="0064705E" w:rsidP="00A504E1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Une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revue documentaire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du cadre juridique et institutionnel de la responsabilité, du contrôle et de l'audit environnementaux, ainsi que des rapports de contrôle publics disponibles ;</w:t>
      </w:r>
    </w:p>
    <w:p w14:paraId="0C1F8D5D" w14:textId="77777777" w:rsidR="007F0E4B" w:rsidRPr="00A504E1" w:rsidRDefault="0064705E" w:rsidP="00A504E1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Une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cartographie des mandats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de contrôle et de vérification (acteur, mandat, moyens, suites données aux constats) ;</w:t>
      </w:r>
    </w:p>
    <w:p w14:paraId="317EE614" w14:textId="77777777" w:rsidR="007F0E4B" w:rsidRPr="00A504E1" w:rsidRDefault="0064705E" w:rsidP="00A504E1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Une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grille d'analyse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de la redevabilité et de la vérification, appliquée de manière homogène aux mécanismes étudiés.</w:t>
      </w:r>
    </w:p>
    <w:p w14:paraId="6E122427" w14:textId="77777777" w:rsidR="007F0E4B" w:rsidRPr="00C859D3" w:rsidRDefault="0064705E" w:rsidP="00A504E1">
      <w:pPr>
        <w:pStyle w:val="Titre1"/>
        <w:rPr>
          <w:lang w:val="fr-FR"/>
        </w:rPr>
      </w:pPr>
      <w:r w:rsidRPr="00C859D3">
        <w:rPr>
          <w:lang w:val="fr-FR"/>
        </w:rPr>
        <w:t>5. Résultats attendus, livrables et calendrier</w:t>
      </w:r>
    </w:p>
    <w:p w14:paraId="4901EB79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L'étude devra notamment permettre de :</w:t>
      </w:r>
    </w:p>
    <w:p w14:paraId="69B34BCF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Établir un diagnostic des mécanismes de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redevabilité, de contrôle et d'audit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environnementaux en Tunisie, dans le secteur public ;</w:t>
      </w:r>
    </w:p>
    <w:p w14:paraId="1E702FA6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Disposer d'une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cartographie des responsabilités et des mandats de contrôle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14:paraId="50E0B8EA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Identifier les principaux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points de rupture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entre responsabilité, vérification et correction ;</w:t>
      </w:r>
    </w:p>
    <w:p w14:paraId="5822B908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Analyser les facteurs institutionnels pouvant contribuer à la persistance de situations de type « zones de sacrifice » ;</w:t>
      </w:r>
    </w:p>
    <w:p w14:paraId="47214172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Proposer une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grille d'évaluation de la redevabilité et de la vérification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réutilisable ;</w:t>
      </w:r>
    </w:p>
    <w:p w14:paraId="61D88E93" w14:textId="77777777" w:rsidR="007F0E4B" w:rsidRPr="00A504E1" w:rsidRDefault="0064705E" w:rsidP="00A504E1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Formuler des recommandations centrées sur les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mécanismes de gouvernance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>, et non sur des politiques sectorielles.</w:t>
      </w:r>
    </w:p>
    <w:p w14:paraId="4BE28747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L'expert devra fournir les livrables suivants :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7F0E4B" w:rsidRPr="00A504E1" w14:paraId="1365A36F" w14:textId="77777777">
        <w:trPr>
          <w:tblHeader/>
        </w:trPr>
        <w:tc>
          <w:tcPr>
            <w:tcW w:w="3120" w:type="dxa"/>
            <w:shd w:val="clear" w:color="auto" w:fill="F2F2F2"/>
          </w:tcPr>
          <w:p w14:paraId="4C6C7B85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Livrable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8CB7727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Contenu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30A70B34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Échéance</w:t>
            </w:r>
            <w:proofErr w:type="spellEnd"/>
          </w:p>
        </w:tc>
      </w:tr>
      <w:tr w:rsidR="007F0E4B" w:rsidRPr="00A504E1" w14:paraId="1D8BD9E4" w14:textId="77777777">
        <w:tc>
          <w:tcPr>
            <w:tcW w:w="3120" w:type="dxa"/>
          </w:tcPr>
          <w:p w14:paraId="3D3B8F20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Note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méthodologique</w:t>
            </w:r>
            <w:proofErr w:type="spellEnd"/>
          </w:p>
        </w:tc>
        <w:tc>
          <w:tcPr>
            <w:tcW w:w="3120" w:type="dxa"/>
          </w:tcPr>
          <w:p w14:paraId="30EE8223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Approche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périmètre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, grille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d'analyse</w:t>
            </w:r>
            <w:proofErr w:type="spellEnd"/>
          </w:p>
        </w:tc>
        <w:tc>
          <w:tcPr>
            <w:tcW w:w="3120" w:type="dxa"/>
          </w:tcPr>
          <w:p w14:paraId="49034571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Avant le 15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octobre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7F0E4B" w:rsidRPr="00A504E1" w14:paraId="12ABEDD7" w14:textId="77777777">
        <w:tc>
          <w:tcPr>
            <w:tcW w:w="3120" w:type="dxa"/>
          </w:tcPr>
          <w:p w14:paraId="1932D181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Rapport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d'étude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</w:p>
        </w:tc>
        <w:tc>
          <w:tcPr>
            <w:tcW w:w="3120" w:type="dxa"/>
          </w:tcPr>
          <w:p w14:paraId="4D9BF4E4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Environ 20 à 30 pages</w:t>
            </w:r>
          </w:p>
        </w:tc>
        <w:tc>
          <w:tcPr>
            <w:tcW w:w="3120" w:type="dxa"/>
          </w:tcPr>
          <w:p w14:paraId="730E9D0D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Avant le 20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octobre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7F0E4B" w:rsidRPr="00A504E1" w14:paraId="62677D04" w14:textId="77777777">
        <w:tc>
          <w:tcPr>
            <w:tcW w:w="3120" w:type="dxa"/>
          </w:tcPr>
          <w:p w14:paraId="68D01D28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Synthèse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exécutive</w:t>
            </w:r>
            <w:proofErr w:type="spellEnd"/>
          </w:p>
        </w:tc>
        <w:tc>
          <w:tcPr>
            <w:tcW w:w="3120" w:type="dxa"/>
          </w:tcPr>
          <w:p w14:paraId="12FB6F63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3 à 5 pages</w:t>
            </w:r>
          </w:p>
        </w:tc>
        <w:tc>
          <w:tcPr>
            <w:tcW w:w="3120" w:type="dxa"/>
          </w:tcPr>
          <w:p w14:paraId="52ECD300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Avant le 23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octobre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7F0E4B" w:rsidRPr="00A504E1" w14:paraId="78001767" w14:textId="77777777">
        <w:tc>
          <w:tcPr>
            <w:tcW w:w="3120" w:type="dxa"/>
          </w:tcPr>
          <w:p w14:paraId="3733F060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Présentation</w:t>
            </w:r>
            <w:proofErr w:type="spellEnd"/>
          </w:p>
        </w:tc>
        <w:tc>
          <w:tcPr>
            <w:tcW w:w="3120" w:type="dxa"/>
          </w:tcPr>
          <w:p w14:paraId="5E995842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Support de restitution lors du Forum de la Gouvernance</w:t>
            </w:r>
          </w:p>
        </w:tc>
        <w:tc>
          <w:tcPr>
            <w:tcW w:w="3120" w:type="dxa"/>
          </w:tcPr>
          <w:p w14:paraId="3BDBBD75" w14:textId="77777777" w:rsidR="007F0E4B" w:rsidRPr="00A504E1" w:rsidRDefault="0064705E" w:rsidP="00A504E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Avant le 25 </w:t>
            </w:r>
            <w:proofErr w:type="spellStart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>octobre</w:t>
            </w:r>
            <w:proofErr w:type="spellEnd"/>
            <w:r w:rsidRPr="00A504E1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</w:tbl>
    <w:p w14:paraId="368ECBD2" w14:textId="77777777" w:rsidR="007F0E4B" w:rsidRPr="00A504E1" w:rsidRDefault="0064705E" w:rsidP="00A504E1">
      <w:pPr>
        <w:pStyle w:val="Titre2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504E1">
        <w:rPr>
          <w:rFonts w:ascii="Times New Roman" w:hAnsi="Times New Roman" w:cs="Times New Roman"/>
          <w:sz w:val="28"/>
          <w:szCs w:val="24"/>
        </w:rPr>
        <w:t xml:space="preserve">6. </w:t>
      </w:r>
      <w:proofErr w:type="spellStart"/>
      <w:r w:rsidRPr="00A504E1">
        <w:rPr>
          <w:rFonts w:ascii="Times New Roman" w:hAnsi="Times New Roman" w:cs="Times New Roman"/>
          <w:sz w:val="28"/>
          <w:szCs w:val="24"/>
        </w:rPr>
        <w:t>Profil</w:t>
      </w:r>
      <w:proofErr w:type="spellEnd"/>
      <w:r w:rsidRPr="00A504E1">
        <w:rPr>
          <w:rFonts w:ascii="Times New Roman" w:hAnsi="Times New Roman" w:cs="Times New Roman"/>
          <w:sz w:val="28"/>
          <w:szCs w:val="24"/>
        </w:rPr>
        <w:t xml:space="preserve"> recherché, </w:t>
      </w:r>
      <w:proofErr w:type="spellStart"/>
      <w:r w:rsidRPr="00A504E1">
        <w:rPr>
          <w:rFonts w:ascii="Times New Roman" w:hAnsi="Times New Roman" w:cs="Times New Roman"/>
          <w:sz w:val="28"/>
          <w:szCs w:val="24"/>
        </w:rPr>
        <w:t>neutralité</w:t>
      </w:r>
      <w:proofErr w:type="spellEnd"/>
      <w:r w:rsidRPr="00A504E1">
        <w:rPr>
          <w:rFonts w:ascii="Times New Roman" w:hAnsi="Times New Roman" w:cs="Times New Roman"/>
          <w:sz w:val="28"/>
          <w:szCs w:val="24"/>
        </w:rPr>
        <w:t xml:space="preserve"> et </w:t>
      </w:r>
      <w:proofErr w:type="spellStart"/>
      <w:r w:rsidRPr="00A504E1">
        <w:rPr>
          <w:rFonts w:ascii="Times New Roman" w:hAnsi="Times New Roman" w:cs="Times New Roman"/>
          <w:sz w:val="28"/>
          <w:szCs w:val="24"/>
        </w:rPr>
        <w:t>soumission</w:t>
      </w:r>
      <w:proofErr w:type="spellEnd"/>
    </w:p>
    <w:p w14:paraId="1F2E0571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L'expert devra disposer d'une expérience confirmée dans un ou plusieurs des domaines suivants :</w:t>
      </w:r>
    </w:p>
    <w:p w14:paraId="439384D6" w14:textId="77777777" w:rsidR="007F0E4B" w:rsidRPr="00A504E1" w:rsidRDefault="0064705E" w:rsidP="00A504E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Gouvernance environnementale et gouvernance d'entreprise ;</w:t>
      </w:r>
    </w:p>
    <w:p w14:paraId="0D5BD5D8" w14:textId="77777777" w:rsidR="007F0E4B" w:rsidRPr="00A504E1" w:rsidRDefault="0064705E" w:rsidP="00A504E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4E1">
        <w:rPr>
          <w:rFonts w:ascii="Times New Roman" w:hAnsi="Times New Roman" w:cs="Times New Roman"/>
          <w:sz w:val="24"/>
          <w:szCs w:val="24"/>
        </w:rPr>
        <w:t>Responsabilité</w:t>
      </w:r>
      <w:proofErr w:type="spellEnd"/>
      <w:r w:rsidRPr="00A504E1">
        <w:rPr>
          <w:rFonts w:ascii="Times New Roman" w:hAnsi="Times New Roman" w:cs="Times New Roman"/>
          <w:sz w:val="24"/>
          <w:szCs w:val="24"/>
        </w:rPr>
        <w:t xml:space="preserve"> et </w:t>
      </w:r>
      <w:r w:rsidRPr="00A504E1">
        <w:rPr>
          <w:rFonts w:ascii="Times New Roman" w:hAnsi="Times New Roman" w:cs="Times New Roman"/>
          <w:i/>
          <w:sz w:val="24"/>
          <w:szCs w:val="24"/>
        </w:rPr>
        <w:t>accountability</w:t>
      </w:r>
      <w:r w:rsidRPr="00A504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04E1">
        <w:rPr>
          <w:rFonts w:ascii="Times New Roman" w:hAnsi="Times New Roman" w:cs="Times New Roman"/>
          <w:sz w:val="24"/>
          <w:szCs w:val="24"/>
        </w:rPr>
        <w:t>institutionnelle</w:t>
      </w:r>
      <w:proofErr w:type="spellEnd"/>
      <w:r w:rsidRPr="00A504E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1727799E" w14:textId="77777777" w:rsidR="007F0E4B" w:rsidRPr="00A504E1" w:rsidRDefault="0064705E" w:rsidP="00A504E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Audit et contrôle environnemental, ESG ou de durabilité ;</w:t>
      </w:r>
    </w:p>
    <w:p w14:paraId="60715413" w14:textId="77777777" w:rsidR="007F0E4B" w:rsidRPr="00A504E1" w:rsidRDefault="0064705E" w:rsidP="00A504E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Audit public et audit de performance ;</w:t>
      </w:r>
    </w:p>
    <w:p w14:paraId="76B34726" w14:textId="77777777" w:rsidR="007F0E4B" w:rsidRPr="00A504E1" w:rsidRDefault="0064705E" w:rsidP="00A504E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Développement territorial et justice environnementale.</w:t>
      </w:r>
    </w:p>
    <w:p w14:paraId="56BD6C5F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Principe de neutralité.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L'étude devra adopter une approche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indépendante, factuelle et politiquement neutre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. Elle portera prioritairement sur les </w:t>
      </w: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t>mécanismes de redevabilité et de vérification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>, leurs interactions, leurs capacités et leurs limites, sans se limiter à l'évaluation de politiques publiques particulières.</w:t>
      </w:r>
    </w:p>
    <w:p w14:paraId="3BF3642F" w14:textId="77777777" w:rsidR="007F0E4B" w:rsidRPr="00A504E1" w:rsidRDefault="0064705E" w:rsidP="00A504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Modalités de soumission.</w:t>
      </w:r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Les candidatures (CV, note de compréhension de 2 à 3 pages, offre financière) sont à adresser à l'IACE avant le :</w:t>
      </w:r>
    </w:p>
    <w:p w14:paraId="03573997" w14:textId="77777777" w:rsidR="007F0E4B" w:rsidRPr="00A504E1" w:rsidRDefault="0064705E" w:rsidP="00A504E1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A504E1">
        <w:rPr>
          <w:rFonts w:ascii="Times New Roman" w:hAnsi="Times New Roman" w:cs="Times New Roman"/>
          <w:sz w:val="24"/>
          <w:szCs w:val="24"/>
          <w:lang w:val="fr-FR"/>
        </w:rPr>
        <w:t>E-mail</w:t>
      </w:r>
      <w:proofErr w:type="gramEnd"/>
      <w:r w:rsidRPr="00A504E1">
        <w:rPr>
          <w:rFonts w:ascii="Times New Roman" w:hAnsi="Times New Roman" w:cs="Times New Roman"/>
          <w:sz w:val="24"/>
          <w:szCs w:val="24"/>
          <w:lang w:val="fr-FR"/>
        </w:rPr>
        <w:t xml:space="preserve"> : contact@iace.org.tn mtoukabri@iace.org.tn</w:t>
      </w:r>
    </w:p>
    <w:p w14:paraId="44491984" w14:textId="77777777" w:rsidR="007F0E4B" w:rsidRPr="00A504E1" w:rsidRDefault="0064705E" w:rsidP="00A504E1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04E1">
        <w:rPr>
          <w:rFonts w:ascii="Times New Roman" w:hAnsi="Times New Roman" w:cs="Times New Roman"/>
          <w:sz w:val="24"/>
          <w:szCs w:val="24"/>
          <w:lang w:val="fr-FR"/>
        </w:rPr>
        <w:t>Adresse : Boulevard principal, rue du Lac Turkana, 1053 Les Berges du Lac, Tunis</w:t>
      </w:r>
    </w:p>
    <w:p w14:paraId="4364B79E" w14:textId="77777777" w:rsidR="007F0E4B" w:rsidRPr="00A504E1" w:rsidRDefault="0064705E" w:rsidP="00A504E1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04E1">
        <w:rPr>
          <w:rFonts w:ascii="Times New Roman" w:hAnsi="Times New Roman" w:cs="Times New Roman"/>
          <w:sz w:val="24"/>
          <w:szCs w:val="24"/>
        </w:rPr>
        <w:t>Site :</w:t>
      </w:r>
      <w:proofErr w:type="gramEnd"/>
      <w:r w:rsidRPr="00A504E1">
        <w:rPr>
          <w:rFonts w:ascii="Times New Roman" w:hAnsi="Times New Roman" w:cs="Times New Roman"/>
          <w:sz w:val="24"/>
          <w:szCs w:val="24"/>
        </w:rPr>
        <w:t xml:space="preserve"> iace.tn</w:t>
      </w:r>
    </w:p>
    <w:sectPr w:rsidR="007F0E4B" w:rsidRPr="00A504E1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D6DB" w14:textId="77777777" w:rsidR="006352B5" w:rsidRDefault="006352B5" w:rsidP="00C859D3">
      <w:pPr>
        <w:spacing w:after="0" w:line="240" w:lineRule="auto"/>
      </w:pPr>
      <w:r>
        <w:separator/>
      </w:r>
    </w:p>
  </w:endnote>
  <w:endnote w:type="continuationSeparator" w:id="0">
    <w:p w14:paraId="7065AEB6" w14:textId="77777777" w:rsidR="006352B5" w:rsidRDefault="006352B5" w:rsidP="00C8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15F18" w14:textId="77777777" w:rsidR="006352B5" w:rsidRDefault="006352B5" w:rsidP="00C859D3">
      <w:pPr>
        <w:spacing w:after="0" w:line="240" w:lineRule="auto"/>
      </w:pPr>
      <w:r>
        <w:separator/>
      </w:r>
    </w:p>
  </w:footnote>
  <w:footnote w:type="continuationSeparator" w:id="0">
    <w:p w14:paraId="21627046" w14:textId="77777777" w:rsidR="006352B5" w:rsidRDefault="006352B5" w:rsidP="00C8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9743" w14:textId="25B86194" w:rsidR="00C859D3" w:rsidRPr="00EF4FE2" w:rsidRDefault="00EF4FE2" w:rsidP="00EF4FE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842DFA" wp14:editId="357E15C9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670050" cy="812800"/>
          <wp:effectExtent l="0" t="0" r="0" b="0"/>
          <wp:wrapTight wrapText="bothSides">
            <wp:wrapPolygon edited="0">
              <wp:start x="0" y="0"/>
              <wp:lineTo x="0" y="21263"/>
              <wp:lineTo x="21436" y="21263"/>
              <wp:lineTo x="21436" y="0"/>
              <wp:lineTo x="0" y="0"/>
            </wp:wrapPolygon>
          </wp:wrapTight>
          <wp:docPr id="119981279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812790" name="Image 11998127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050" cy="8128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B545F"/>
    <w:multiLevelType w:val="hybridMultilevel"/>
    <w:tmpl w:val="F4B422A4"/>
    <w:lvl w:ilvl="0" w:tplc="60121AC8">
      <w:start w:val="1"/>
      <w:numFmt w:val="bullet"/>
      <w:lvlText w:val="•"/>
      <w:lvlJc w:val="left"/>
      <w:pPr>
        <w:ind w:left="720" w:hanging="360"/>
      </w:pPr>
    </w:lvl>
    <w:lvl w:ilvl="1" w:tplc="DFC081BA">
      <w:start w:val="1"/>
      <w:numFmt w:val="bullet"/>
      <w:lvlText w:val="o"/>
      <w:lvlJc w:val="left"/>
      <w:pPr>
        <w:ind w:left="1440" w:hanging="360"/>
      </w:pPr>
    </w:lvl>
    <w:lvl w:ilvl="2" w:tplc="29CAA390">
      <w:start w:val="1"/>
      <w:numFmt w:val="bullet"/>
      <w:lvlText w:val="▪"/>
      <w:lvlJc w:val="left"/>
      <w:pPr>
        <w:ind w:left="2160" w:hanging="360"/>
      </w:pPr>
    </w:lvl>
    <w:lvl w:ilvl="3" w:tplc="37A41AC4">
      <w:start w:val="1"/>
      <w:numFmt w:val="bullet"/>
      <w:lvlText w:val="•"/>
      <w:lvlJc w:val="left"/>
      <w:pPr>
        <w:ind w:left="2880" w:hanging="360"/>
      </w:pPr>
    </w:lvl>
    <w:lvl w:ilvl="4" w:tplc="4420D2AA">
      <w:start w:val="1"/>
      <w:numFmt w:val="bullet"/>
      <w:lvlText w:val="o"/>
      <w:lvlJc w:val="left"/>
      <w:pPr>
        <w:ind w:left="3600" w:hanging="360"/>
      </w:pPr>
    </w:lvl>
    <w:lvl w:ilvl="5" w:tplc="4D58C0BC">
      <w:start w:val="1"/>
      <w:numFmt w:val="bullet"/>
      <w:lvlText w:val="▪"/>
      <w:lvlJc w:val="left"/>
      <w:pPr>
        <w:ind w:left="4320" w:hanging="360"/>
      </w:pPr>
    </w:lvl>
    <w:lvl w:ilvl="6" w:tplc="7CE868E8">
      <w:start w:val="1"/>
      <w:numFmt w:val="bullet"/>
      <w:lvlText w:val="•"/>
      <w:lvlJc w:val="left"/>
      <w:pPr>
        <w:ind w:left="5040" w:hanging="360"/>
      </w:pPr>
    </w:lvl>
    <w:lvl w:ilvl="7" w:tplc="2190197C">
      <w:start w:val="1"/>
      <w:numFmt w:val="bullet"/>
      <w:lvlText w:val="o"/>
      <w:lvlJc w:val="left"/>
      <w:pPr>
        <w:ind w:left="5760" w:hanging="360"/>
      </w:pPr>
    </w:lvl>
    <w:lvl w:ilvl="8" w:tplc="F0B03BCA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5990A85"/>
    <w:multiLevelType w:val="hybridMultilevel"/>
    <w:tmpl w:val="5FDAB140"/>
    <w:lvl w:ilvl="0" w:tplc="689CC262">
      <w:start w:val="1"/>
      <w:numFmt w:val="decimal"/>
      <w:lvlText w:val="%1."/>
      <w:lvlJc w:val="left"/>
      <w:pPr>
        <w:ind w:left="720" w:hanging="360"/>
      </w:pPr>
    </w:lvl>
    <w:lvl w:ilvl="1" w:tplc="BBE850D2">
      <w:start w:val="1"/>
      <w:numFmt w:val="lowerLetter"/>
      <w:lvlText w:val="%2."/>
      <w:lvlJc w:val="left"/>
      <w:pPr>
        <w:ind w:left="1440" w:hanging="360"/>
      </w:pPr>
    </w:lvl>
    <w:lvl w:ilvl="2" w:tplc="085C22AA">
      <w:start w:val="1"/>
      <w:numFmt w:val="lowerRoman"/>
      <w:lvlText w:val="%3."/>
      <w:lvlJc w:val="left"/>
      <w:pPr>
        <w:ind w:left="2160" w:hanging="360"/>
      </w:pPr>
    </w:lvl>
    <w:lvl w:ilvl="3" w:tplc="17F6827E">
      <w:start w:val="1"/>
      <w:numFmt w:val="decimal"/>
      <w:lvlText w:val="%4."/>
      <w:lvlJc w:val="left"/>
      <w:pPr>
        <w:ind w:left="2880" w:hanging="360"/>
      </w:pPr>
    </w:lvl>
    <w:lvl w:ilvl="4" w:tplc="A7784CCC">
      <w:start w:val="1"/>
      <w:numFmt w:val="lowerLetter"/>
      <w:lvlText w:val="%5."/>
      <w:lvlJc w:val="left"/>
      <w:pPr>
        <w:ind w:left="3600" w:hanging="360"/>
      </w:pPr>
    </w:lvl>
    <w:lvl w:ilvl="5" w:tplc="C122DBE4">
      <w:start w:val="1"/>
      <w:numFmt w:val="lowerRoman"/>
      <w:lvlText w:val="%6."/>
      <w:lvlJc w:val="left"/>
      <w:pPr>
        <w:ind w:left="4320" w:hanging="360"/>
      </w:pPr>
    </w:lvl>
    <w:lvl w:ilvl="6" w:tplc="3A5C3146">
      <w:start w:val="1"/>
      <w:numFmt w:val="decimal"/>
      <w:lvlText w:val="%7."/>
      <w:lvlJc w:val="left"/>
      <w:pPr>
        <w:ind w:left="5040" w:hanging="360"/>
      </w:pPr>
    </w:lvl>
    <w:lvl w:ilvl="7" w:tplc="CAB29170">
      <w:start w:val="1"/>
      <w:numFmt w:val="lowerLetter"/>
      <w:lvlText w:val="%8."/>
      <w:lvlJc w:val="left"/>
      <w:pPr>
        <w:ind w:left="5760" w:hanging="360"/>
      </w:pPr>
    </w:lvl>
    <w:lvl w:ilvl="8" w:tplc="0334630C">
      <w:start w:val="1"/>
      <w:numFmt w:val="lowerRoman"/>
      <w:lvlText w:val="%9."/>
      <w:lvlJc w:val="left"/>
      <w:pPr>
        <w:ind w:left="6480" w:hanging="360"/>
      </w:pPr>
    </w:lvl>
  </w:abstractNum>
  <w:num w:numId="1" w16cid:durableId="1138256800">
    <w:abstractNumId w:val="0"/>
  </w:num>
  <w:num w:numId="2" w16cid:durableId="1750039601">
    <w:abstractNumId w:val="1"/>
    <w:lvlOverride w:ilvl="0">
      <w:startOverride w:val="1"/>
    </w:lvlOverride>
  </w:num>
  <w:num w:numId="3" w16cid:durableId="174081504">
    <w:abstractNumId w:val="0"/>
  </w:num>
  <w:num w:numId="4" w16cid:durableId="1175025708">
    <w:abstractNumId w:val="0"/>
  </w:num>
  <w:num w:numId="5" w16cid:durableId="1644776721">
    <w:abstractNumId w:val="0"/>
  </w:num>
  <w:num w:numId="6" w16cid:durableId="15028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4B"/>
    <w:rsid w:val="00377B41"/>
    <w:rsid w:val="006352B5"/>
    <w:rsid w:val="0064705E"/>
    <w:rsid w:val="007A1629"/>
    <w:rsid w:val="007F0E4B"/>
    <w:rsid w:val="00A504E1"/>
    <w:rsid w:val="00C32319"/>
    <w:rsid w:val="00C859D3"/>
    <w:rsid w:val="00CF19C5"/>
    <w:rsid w:val="00DA30A9"/>
    <w:rsid w:val="00E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913C5"/>
  <w15:docId w15:val="{111D62CE-130A-4ABE-980F-06B2F846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tion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rPr>
      <w:color w:val="0563C1"/>
      <w:u w:val="single"/>
    </w:rPr>
  </w:style>
  <w:style w:type="paragraph" w:styleId="Commentaire">
    <w:name w:val="annotation text"/>
    <w:basedOn w:val="Normal"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rPr>
      <w:sz w:val="16"/>
      <w:szCs w:val="16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8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59D3"/>
  </w:style>
  <w:style w:type="paragraph" w:styleId="Pieddepage">
    <w:name w:val="footer"/>
    <w:basedOn w:val="Normal"/>
    <w:link w:val="PieddepageCar"/>
    <w:uiPriority w:val="99"/>
    <w:unhideWhenUsed/>
    <w:rsid w:val="00C8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1117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TERMES DE RÉFÉRENCE — Étude « Redevabilité, contrôle et audit de la gouvernance</dc:title>
  <dc:creator>Manara Toukabri</dc:creator>
  <dc:description>Claude Docs node/e8c34920-ee80@12 docx-w6</dc:description>
  <cp:lastModifiedBy>Manara Toukabri</cp:lastModifiedBy>
  <cp:revision>4</cp:revision>
  <dcterms:created xsi:type="dcterms:W3CDTF">2026-10-01T11:17:00Z</dcterms:created>
  <dcterms:modified xsi:type="dcterms:W3CDTF">2026-10-01T11:54:00Z</dcterms:modified>
</cp:coreProperties>
</file>